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44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bookmarkStart w:id="0" w:name="_GoBack"/>
      <w:r>
        <w:rPr>
          <w:rFonts w:hint="eastAsia" w:ascii="仿宋_GB2312" w:eastAsia="仿宋_GB2312"/>
          <w:b/>
          <w:bCs/>
          <w:sz w:val="44"/>
          <w:lang w:eastAsia="zh-CN"/>
        </w:rPr>
        <w:t>培训路线图</w:t>
      </w:r>
      <w:bookmarkEnd w:id="0"/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  <w:r>
        <w:rPr>
          <w:rFonts w:hint="eastAsia" w:ascii="仿宋_GB2312" w:eastAsia="仿宋_GB2312"/>
          <w:b/>
          <w:bCs/>
          <w:sz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251460</wp:posOffset>
            </wp:positionV>
            <wp:extent cx="5309235" cy="4457700"/>
            <wp:effectExtent l="0" t="0" r="5715" b="0"/>
            <wp:wrapNone/>
            <wp:docPr id="1" name="图片 2" descr="0b99b1d0e85e7d7b8e88629ad6a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0b99b1d0e85e7d7b8e88629ad6a3491"/>
                    <pic:cNvPicPr>
                      <a:picLocks noChangeAspect="1"/>
                    </pic:cNvPicPr>
                  </pic:nvPicPr>
                  <pic:blipFill>
                    <a:blip r:embed="rId4"/>
                    <a:srcRect t="10239" r="-856"/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</w:p>
    <w:p>
      <w:pPr>
        <w:rPr>
          <w:rFonts w:hint="eastAsia" w:ascii="仿宋_GB2312" w:eastAsia="仿宋_GB2312"/>
          <w:b/>
          <w:bCs/>
          <w:sz w:val="44"/>
          <w:lang w:eastAsia="zh-CN"/>
        </w:rPr>
      </w:pPr>
    </w:p>
    <w:p>
      <w:pP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乘车路线：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机场：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1.打车：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约60元，约37分钟到达；</w:t>
      </w:r>
    </w:p>
    <w:p>
      <w:pPr>
        <w:numPr>
          <w:ilvl w:val="0"/>
          <w:numId w:val="0"/>
        </w:numP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2.机场巴士—公共交通：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乘坐机场巴士3号线（凯旋路方向），在乐群街站下车同站换乘115路/346路，在浦东路站下车，步行400米即到，约1.5小时；</w:t>
      </w:r>
    </w:p>
    <w:p>
      <w:pPr>
        <w:numPr>
          <w:ilvl w:val="0"/>
          <w:numId w:val="0"/>
        </w:numP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3.火车—公共交通：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城际铁路（龙嘉-长春，长春站方向），步行500米，转乘168路（九台路站上车，福州街方向，经1小时，在浦东路站下车），步行300米即到。约2小时。</w:t>
      </w:r>
    </w:p>
    <w:p>
      <w:pPr>
        <w:numPr>
          <w:ilvl w:val="0"/>
          <w:numId w:val="1"/>
        </w:numPr>
        <w:ind w:left="0" w:leftChars="0" w:firstLine="421" w:firstLineChars="131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火车站</w:t>
      </w:r>
    </w:p>
    <w:p>
      <w:pPr>
        <w:numPr>
          <w:ilvl w:val="0"/>
          <w:numId w:val="0"/>
        </w:numPr>
        <w:ind w:firstLine="643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1.打车：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约30元，约40分钟到达；</w:t>
      </w:r>
    </w:p>
    <w:p>
      <w:pPr>
        <w:numPr>
          <w:ilvl w:val="0"/>
          <w:numId w:val="0"/>
        </w:numPr>
        <w:ind w:firstLine="643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2.地铁—打公共交通：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地铁1号线（长春北站上车，红嘴子方向）乘坐2站在人民广场站下车（C出口），步行500米，在人民广场公交站（长影世纪城方向）乘车坐15站，浦东路下车，步行300米即到，约1.5小时；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3.公共交通：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乘坐115/318路车。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（1）115路（吉林农大方向）：长春站上车，途径24站，在浦东路站下车，步行300米即到，约1小时10分；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（2）318（中东市场方向）：长春站上车，途径21站，在中东市场站下车，步行850米即到，约1小时20分。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注：用时均为网络估算，实际用时还视路况而定，敬请谅解。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友情提示：使用电子地图更加方便准确到达培训地点。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6165"/>
    <w:multiLevelType w:val="singleLevel"/>
    <w:tmpl w:val="4621616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E67B4"/>
    <w:rsid w:val="430E6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2019-12-25T03:10:00Z</dcterms:created>
  <dc:creator>逆风</dc:creator>
  <cp:lastModifiedBy>逆风</cp:lastModifiedBy>
  <dcterms:modified xsi:type="dcterms:W3CDTF">2019-12-25T03:11:23Z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